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30"/>
        <w:gridCol w:w="7646"/>
      </w:tblGrid>
      <w:tr w:rsidR="00927F59" w:rsidTr="00FF661A">
        <w:tc>
          <w:tcPr>
            <w:tcW w:w="9576" w:type="dxa"/>
            <w:gridSpan w:val="2"/>
          </w:tcPr>
          <w:p w:rsidR="00927F59" w:rsidRPr="00927F59" w:rsidRDefault="00927F59" w:rsidP="00EA4699">
            <w:pPr>
              <w:autoSpaceDE w:val="0"/>
              <w:autoSpaceDN w:val="0"/>
              <w:adjustRightInd w:val="0"/>
              <w:jc w:val="center"/>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360"/>
            </w:tblGrid>
            <w:tr w:rsidR="00927F59" w:rsidRPr="00927F59" w:rsidTr="00927F59">
              <w:trPr>
                <w:trHeight w:val="279"/>
              </w:trPr>
              <w:tc>
                <w:tcPr>
                  <w:tcW w:w="9360" w:type="dxa"/>
                </w:tcPr>
                <w:p w:rsidR="00927F59" w:rsidRPr="00927F59" w:rsidRDefault="00733023" w:rsidP="00EA4699">
                  <w:pPr>
                    <w:tabs>
                      <w:tab w:val="left" w:pos="1250"/>
                      <w:tab w:val="center" w:pos="4572"/>
                    </w:tabs>
                    <w:autoSpaceDE w:val="0"/>
                    <w:autoSpaceDN w:val="0"/>
                    <w:adjustRightInd w:val="0"/>
                    <w:jc w:val="center"/>
                    <w:rPr>
                      <w:rFonts w:ascii="Arial" w:hAnsi="Arial" w:cs="Arial"/>
                      <w:color w:val="000000"/>
                    </w:rPr>
                  </w:pPr>
                  <w:r>
                    <w:rPr>
                      <w:rFonts w:ascii="Arial" w:hAnsi="Arial" w:cs="Arial"/>
                      <w:b/>
                      <w:bCs/>
                      <w:color w:val="000000"/>
                    </w:rPr>
                    <w:t xml:space="preserve">NON-COMPETITIVE </w:t>
                  </w:r>
                  <w:r w:rsidR="00B57587">
                    <w:rPr>
                      <w:rFonts w:ascii="Arial" w:hAnsi="Arial" w:cs="Arial"/>
                      <w:b/>
                      <w:bCs/>
                      <w:color w:val="000000"/>
                    </w:rPr>
                    <w:t xml:space="preserve">APPOINTING </w:t>
                  </w:r>
                  <w:r>
                    <w:rPr>
                      <w:rFonts w:ascii="Arial" w:hAnsi="Arial" w:cs="Arial"/>
                      <w:b/>
                      <w:bCs/>
                      <w:color w:val="000000"/>
                    </w:rPr>
                    <w:t>AUTHORITIES DEFINITIONS</w:t>
                  </w:r>
                </w:p>
              </w:tc>
            </w:tr>
          </w:tbl>
          <w:p w:rsidR="00927F59" w:rsidRPr="00927F59" w:rsidRDefault="00927F59" w:rsidP="00927F59">
            <w:pPr>
              <w:autoSpaceDE w:val="0"/>
              <w:autoSpaceDN w:val="0"/>
              <w:adjustRightInd w:val="0"/>
              <w:jc w:val="center"/>
              <w:rPr>
                <w:rFonts w:ascii="Arial" w:hAnsi="Arial" w:cs="Arial"/>
                <w:color w:val="000000"/>
                <w:sz w:val="24"/>
                <w:szCs w:val="24"/>
              </w:rPr>
            </w:pPr>
          </w:p>
        </w:tc>
      </w:tr>
      <w:tr w:rsidR="00927F59" w:rsidTr="00B20D5B">
        <w:tc>
          <w:tcPr>
            <w:tcW w:w="9576" w:type="dxa"/>
            <w:gridSpan w:val="2"/>
          </w:tcPr>
          <w:p w:rsidR="00927F59" w:rsidRPr="00927F59" w:rsidRDefault="00927F59" w:rsidP="00927F59">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9360"/>
            </w:tblGrid>
            <w:tr w:rsidR="00927F59" w:rsidRPr="00927F59">
              <w:trPr>
                <w:trHeight w:val="526"/>
              </w:trPr>
              <w:tc>
                <w:tcPr>
                  <w:tcW w:w="0" w:type="auto"/>
                </w:tcPr>
                <w:p w:rsidR="00927F59" w:rsidRPr="00927F59" w:rsidRDefault="00927F59" w:rsidP="00A148CF">
                  <w:pPr>
                    <w:autoSpaceDE w:val="0"/>
                    <w:autoSpaceDN w:val="0"/>
                    <w:adjustRightInd w:val="0"/>
                    <w:rPr>
                      <w:rFonts w:ascii="Arial" w:hAnsi="Arial" w:cs="Arial"/>
                      <w:color w:val="000000"/>
                    </w:rPr>
                  </w:pPr>
                  <w:r w:rsidRPr="00927F59">
                    <w:rPr>
                      <w:rFonts w:ascii="Arial" w:hAnsi="Arial" w:cs="Arial"/>
                      <w:color w:val="000000"/>
                    </w:rPr>
                    <w:t>Please be sure to read the “Who May Apply” Section of the vacancy</w:t>
                  </w:r>
                  <w:r w:rsidR="00733023">
                    <w:rPr>
                      <w:rFonts w:ascii="Arial" w:hAnsi="Arial" w:cs="Arial"/>
                      <w:color w:val="000000"/>
                    </w:rPr>
                    <w:t xml:space="preserve"> announcement.</w:t>
                  </w:r>
                  <w:r w:rsidR="00A148CF">
                    <w:rPr>
                      <w:rFonts w:ascii="Arial" w:hAnsi="Arial" w:cs="Arial"/>
                      <w:color w:val="000000"/>
                    </w:rPr>
                    <w:t xml:space="preserve">  Be sure to provide the documents that support your eligibility under the appointing authority.  Failure to provide proof can result in non-consideration.</w:t>
                  </w:r>
                </w:p>
                <w:p w:rsidR="00927F59" w:rsidRPr="00927F59" w:rsidRDefault="00927F59" w:rsidP="00733023">
                  <w:pPr>
                    <w:autoSpaceDE w:val="0"/>
                    <w:autoSpaceDN w:val="0"/>
                    <w:adjustRightInd w:val="0"/>
                    <w:jc w:val="center"/>
                    <w:rPr>
                      <w:rFonts w:ascii="Arial" w:hAnsi="Arial" w:cs="Arial"/>
                      <w:color w:val="000000"/>
                    </w:rPr>
                  </w:pPr>
                </w:p>
              </w:tc>
            </w:tr>
          </w:tbl>
          <w:p w:rsidR="00927F59" w:rsidRPr="00927F59" w:rsidRDefault="00927F59" w:rsidP="00927F59">
            <w:pPr>
              <w:autoSpaceDE w:val="0"/>
              <w:autoSpaceDN w:val="0"/>
              <w:adjustRightInd w:val="0"/>
              <w:rPr>
                <w:rFonts w:ascii="Arial" w:hAnsi="Arial" w:cs="Arial"/>
                <w:color w:val="000000"/>
                <w:sz w:val="24"/>
                <w:szCs w:val="24"/>
              </w:rPr>
            </w:pPr>
          </w:p>
        </w:tc>
      </w:tr>
      <w:tr w:rsidR="00927F59" w:rsidTr="00927F59">
        <w:tc>
          <w:tcPr>
            <w:tcW w:w="1930" w:type="dxa"/>
          </w:tcPr>
          <w:tbl>
            <w:tblPr>
              <w:tblW w:w="0" w:type="auto"/>
              <w:tblBorders>
                <w:top w:val="nil"/>
                <w:left w:val="nil"/>
                <w:bottom w:val="nil"/>
                <w:right w:val="nil"/>
              </w:tblBorders>
              <w:tblLook w:val="0000" w:firstRow="0" w:lastRow="0" w:firstColumn="0" w:lastColumn="0" w:noHBand="0" w:noVBand="0"/>
            </w:tblPr>
            <w:tblGrid>
              <w:gridCol w:w="1714"/>
            </w:tblGrid>
            <w:tr w:rsidR="00927F59" w:rsidRPr="00927F59">
              <w:trPr>
                <w:trHeight w:val="271"/>
              </w:trPr>
              <w:tc>
                <w:tcPr>
                  <w:tcW w:w="0" w:type="auto"/>
                </w:tcPr>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 xml:space="preserve">Current </w:t>
                  </w:r>
                </w:p>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Permanent</w:t>
                  </w:r>
                  <w:r w:rsidR="00A148CF">
                    <w:rPr>
                      <w:rFonts w:ascii="Arial" w:hAnsi="Arial" w:cs="Arial"/>
                      <w:color w:val="000000"/>
                    </w:rPr>
                    <w:t xml:space="preserve"> Federal Civilian Employee</w:t>
                  </w:r>
                  <w:r w:rsidRPr="00927F59">
                    <w:rPr>
                      <w:rFonts w:ascii="Arial" w:hAnsi="Arial" w:cs="Arial"/>
                      <w:color w:val="000000"/>
                    </w:rPr>
                    <w:t xml:space="preserve"> </w:t>
                  </w:r>
                </w:p>
              </w:tc>
            </w:tr>
          </w:tbl>
          <w:p w:rsidR="00927F59" w:rsidRDefault="00927F59"/>
        </w:tc>
        <w:tc>
          <w:tcPr>
            <w:tcW w:w="7646" w:type="dxa"/>
          </w:tcPr>
          <w:tbl>
            <w:tblPr>
              <w:tblW w:w="0" w:type="auto"/>
              <w:tblBorders>
                <w:top w:val="nil"/>
                <w:left w:val="nil"/>
                <w:bottom w:val="nil"/>
                <w:right w:val="nil"/>
              </w:tblBorders>
              <w:tblLook w:val="0000" w:firstRow="0" w:lastRow="0" w:firstColumn="0" w:lastColumn="0" w:noHBand="0" w:noVBand="0"/>
            </w:tblPr>
            <w:tblGrid>
              <w:gridCol w:w="7430"/>
            </w:tblGrid>
            <w:tr w:rsidR="00927F59" w:rsidRPr="00927F59">
              <w:trPr>
                <w:trHeight w:val="902"/>
              </w:trPr>
              <w:tc>
                <w:tcPr>
                  <w:tcW w:w="0" w:type="auto"/>
                </w:tcPr>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 xml:space="preserve">You may be eligible as a current permanent federal civilian employee if you are: </w:t>
                  </w:r>
                </w:p>
                <w:p w:rsidR="00733023" w:rsidRDefault="00733023" w:rsidP="00927F59">
                  <w:pPr>
                    <w:autoSpaceDE w:val="0"/>
                    <w:autoSpaceDN w:val="0"/>
                    <w:adjustRightInd w:val="0"/>
                    <w:rPr>
                      <w:rFonts w:ascii="Arial" w:hAnsi="Arial" w:cs="Arial"/>
                      <w:color w:val="000000"/>
                    </w:rPr>
                  </w:pPr>
                </w:p>
                <w:p w:rsidR="00733023" w:rsidRDefault="00927F59" w:rsidP="00A148CF">
                  <w:pPr>
                    <w:autoSpaceDE w:val="0"/>
                    <w:autoSpaceDN w:val="0"/>
                    <w:adjustRightInd w:val="0"/>
                    <w:rPr>
                      <w:rFonts w:ascii="Arial" w:hAnsi="Arial" w:cs="Arial"/>
                      <w:color w:val="000000"/>
                    </w:rPr>
                  </w:pPr>
                  <w:r w:rsidRPr="00927F59">
                    <w:rPr>
                      <w:rFonts w:ascii="Arial" w:hAnsi="Arial" w:cs="Arial"/>
                      <w:color w:val="000000"/>
                    </w:rPr>
                    <w:t xml:space="preserve">A current permanent competitive service civilian employee of any Federal agency. If you are currently serving on a career-conditional appointment, you are eligible to apply if you have served at least 90 days on your current appointment. </w:t>
                  </w:r>
                  <w:r w:rsidR="00733023">
                    <w:rPr>
                      <w:rFonts w:ascii="Arial" w:hAnsi="Arial" w:cs="Arial"/>
                      <w:color w:val="000000"/>
                    </w:rPr>
                    <w:t xml:space="preserve"> You must have held </w:t>
                  </w:r>
                  <w:r w:rsidR="00A148CF">
                    <w:rPr>
                      <w:rFonts w:ascii="Arial" w:hAnsi="Arial" w:cs="Arial"/>
                      <w:color w:val="000000"/>
                    </w:rPr>
                    <w:t xml:space="preserve">(on a permanent basis) </w:t>
                  </w:r>
                  <w:r w:rsidR="00733023">
                    <w:rPr>
                      <w:rFonts w:ascii="Arial" w:hAnsi="Arial" w:cs="Arial"/>
                      <w:color w:val="000000"/>
                    </w:rPr>
                    <w:t xml:space="preserve">the grade of the position being filled </w:t>
                  </w:r>
                  <w:r w:rsidR="00DF32F6">
                    <w:rPr>
                      <w:rFonts w:ascii="Arial" w:hAnsi="Arial" w:cs="Arial"/>
                      <w:color w:val="000000"/>
                    </w:rPr>
                    <w:t xml:space="preserve">(or equivalent) </w:t>
                  </w:r>
                  <w:r w:rsidR="00733023">
                    <w:rPr>
                      <w:rFonts w:ascii="Arial" w:hAnsi="Arial" w:cs="Arial"/>
                      <w:color w:val="000000"/>
                    </w:rPr>
                    <w:t xml:space="preserve">and </w:t>
                  </w:r>
                  <w:r w:rsidR="00A148CF">
                    <w:rPr>
                      <w:rFonts w:ascii="Arial" w:hAnsi="Arial" w:cs="Arial"/>
                      <w:color w:val="000000"/>
                    </w:rPr>
                    <w:t xml:space="preserve">you </w:t>
                  </w:r>
                  <w:r w:rsidR="00733023">
                    <w:rPr>
                      <w:rFonts w:ascii="Arial" w:hAnsi="Arial" w:cs="Arial"/>
                      <w:color w:val="000000"/>
                    </w:rPr>
                    <w:t>m</w:t>
                  </w:r>
                  <w:r w:rsidR="00A148CF">
                    <w:rPr>
                      <w:rFonts w:ascii="Arial" w:hAnsi="Arial" w:cs="Arial"/>
                      <w:color w:val="000000"/>
                    </w:rPr>
                    <w:t xml:space="preserve">ust provide a copy of the SF-50, Notification of Personnel Action, </w:t>
                  </w:r>
                  <w:r w:rsidR="00733023">
                    <w:rPr>
                      <w:rFonts w:ascii="Arial" w:hAnsi="Arial" w:cs="Arial"/>
                      <w:color w:val="000000"/>
                    </w:rPr>
                    <w:t>to support your claim.</w:t>
                  </w:r>
                </w:p>
                <w:p w:rsidR="00367827" w:rsidRPr="00927F59" w:rsidRDefault="00367827" w:rsidP="00A148CF">
                  <w:pPr>
                    <w:autoSpaceDE w:val="0"/>
                    <w:autoSpaceDN w:val="0"/>
                    <w:adjustRightInd w:val="0"/>
                    <w:rPr>
                      <w:rFonts w:ascii="Arial" w:hAnsi="Arial" w:cs="Arial"/>
                      <w:color w:val="000000"/>
                    </w:rPr>
                  </w:pPr>
                </w:p>
              </w:tc>
            </w:tr>
          </w:tbl>
          <w:p w:rsidR="00927F59" w:rsidRDefault="00927F59"/>
        </w:tc>
      </w:tr>
      <w:tr w:rsidR="00927F59" w:rsidTr="00927F59">
        <w:tc>
          <w:tcPr>
            <w:tcW w:w="1930" w:type="dxa"/>
          </w:tcPr>
          <w:tbl>
            <w:tblPr>
              <w:tblW w:w="0" w:type="auto"/>
              <w:tblBorders>
                <w:top w:val="nil"/>
                <w:left w:val="nil"/>
                <w:bottom w:val="nil"/>
                <w:right w:val="nil"/>
              </w:tblBorders>
              <w:tblLook w:val="0000" w:firstRow="0" w:lastRow="0" w:firstColumn="0" w:lastColumn="0" w:noHBand="0" w:noVBand="0"/>
            </w:tblPr>
            <w:tblGrid>
              <w:gridCol w:w="1714"/>
            </w:tblGrid>
            <w:tr w:rsidR="00927F59" w:rsidRPr="00927F59">
              <w:trPr>
                <w:trHeight w:val="271"/>
              </w:trPr>
              <w:tc>
                <w:tcPr>
                  <w:tcW w:w="0" w:type="auto"/>
                </w:tcPr>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 xml:space="preserve">Reinstatement </w:t>
                  </w:r>
                </w:p>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Eligible</w:t>
                  </w:r>
                  <w:r w:rsidR="00A148CF">
                    <w:rPr>
                      <w:rFonts w:ascii="Arial" w:hAnsi="Arial" w:cs="Arial"/>
                      <w:color w:val="000000"/>
                    </w:rPr>
                    <w:t xml:space="preserve"> (former permanent Federal civilian employee)</w:t>
                  </w:r>
                  <w:r w:rsidRPr="00927F59">
                    <w:rPr>
                      <w:rFonts w:ascii="Arial" w:hAnsi="Arial" w:cs="Arial"/>
                      <w:color w:val="000000"/>
                    </w:rPr>
                    <w:t xml:space="preserve"> </w:t>
                  </w:r>
                </w:p>
              </w:tc>
            </w:tr>
          </w:tbl>
          <w:p w:rsidR="00927F59" w:rsidRDefault="00927F59"/>
        </w:tc>
        <w:tc>
          <w:tcPr>
            <w:tcW w:w="7646" w:type="dxa"/>
          </w:tcPr>
          <w:tbl>
            <w:tblPr>
              <w:tblW w:w="0" w:type="auto"/>
              <w:tblBorders>
                <w:top w:val="nil"/>
                <w:left w:val="nil"/>
                <w:bottom w:val="nil"/>
                <w:right w:val="nil"/>
              </w:tblBorders>
              <w:tblLook w:val="0000" w:firstRow="0" w:lastRow="0" w:firstColumn="0" w:lastColumn="0" w:noHBand="0" w:noVBand="0"/>
            </w:tblPr>
            <w:tblGrid>
              <w:gridCol w:w="7430"/>
            </w:tblGrid>
            <w:tr w:rsidR="00927F59" w:rsidRPr="00927F59">
              <w:trPr>
                <w:trHeight w:val="1787"/>
              </w:trPr>
              <w:tc>
                <w:tcPr>
                  <w:tcW w:w="0" w:type="auto"/>
                </w:tcPr>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 xml:space="preserve">You may be eligible as a </w:t>
                  </w:r>
                  <w:r w:rsidR="00576F2F">
                    <w:rPr>
                      <w:rFonts w:ascii="Arial" w:hAnsi="Arial" w:cs="Arial"/>
                      <w:color w:val="000000"/>
                    </w:rPr>
                    <w:t xml:space="preserve">non-competitive </w:t>
                  </w:r>
                  <w:r w:rsidRPr="00927F59">
                    <w:rPr>
                      <w:rFonts w:ascii="Arial" w:hAnsi="Arial" w:cs="Arial"/>
                      <w:color w:val="000000"/>
                    </w:rPr>
                    <w:t xml:space="preserve">reinstatement eligible if you are: </w:t>
                  </w:r>
                </w:p>
                <w:p w:rsidR="00733023" w:rsidRDefault="00733023" w:rsidP="00927F59">
                  <w:pPr>
                    <w:autoSpaceDE w:val="0"/>
                    <w:autoSpaceDN w:val="0"/>
                    <w:adjustRightInd w:val="0"/>
                    <w:rPr>
                      <w:rFonts w:ascii="Arial" w:hAnsi="Arial" w:cs="Arial"/>
                      <w:color w:val="000000"/>
                    </w:rPr>
                  </w:pPr>
                </w:p>
                <w:p w:rsidR="00927F59" w:rsidRDefault="00927F59" w:rsidP="00927F59">
                  <w:pPr>
                    <w:autoSpaceDE w:val="0"/>
                    <w:autoSpaceDN w:val="0"/>
                    <w:adjustRightInd w:val="0"/>
                    <w:rPr>
                      <w:rFonts w:ascii="Arial" w:hAnsi="Arial" w:cs="Arial"/>
                      <w:color w:val="000000"/>
                    </w:rPr>
                  </w:pPr>
                  <w:r w:rsidRPr="00927F59">
                    <w:rPr>
                      <w:rFonts w:ascii="Arial" w:hAnsi="Arial" w:cs="Arial"/>
                      <w:color w:val="000000"/>
                    </w:rPr>
                    <w:t xml:space="preserve">A former Federal employee in the competitive service who previously attained career status (identified as Tenure 1 in block 24 of your last SF-50, Notification of Personnel Action), </w:t>
                  </w:r>
                  <w:r w:rsidR="00576F2F">
                    <w:rPr>
                      <w:rFonts w:ascii="Arial" w:hAnsi="Arial" w:cs="Arial"/>
                      <w:color w:val="000000"/>
                    </w:rPr>
                    <w:t>and held the grade of the position being filled (or equivalent)</w:t>
                  </w:r>
                  <w:r w:rsidR="004213FF">
                    <w:rPr>
                      <w:rFonts w:ascii="Arial" w:hAnsi="Arial" w:cs="Arial"/>
                      <w:color w:val="000000"/>
                    </w:rPr>
                    <w:t>,</w:t>
                  </w:r>
                  <w:r w:rsidR="00576F2F">
                    <w:rPr>
                      <w:rFonts w:ascii="Arial" w:hAnsi="Arial" w:cs="Arial"/>
                      <w:color w:val="000000"/>
                    </w:rPr>
                    <w:t xml:space="preserve"> </w:t>
                  </w:r>
                  <w:r w:rsidRPr="00927F59">
                    <w:rPr>
                      <w:rFonts w:ascii="Arial" w:hAnsi="Arial" w:cs="Arial"/>
                      <w:color w:val="000000"/>
                    </w:rPr>
                    <w:t xml:space="preserve">or </w:t>
                  </w:r>
                </w:p>
                <w:p w:rsidR="00A148CF" w:rsidRPr="00927F59" w:rsidRDefault="00A148CF" w:rsidP="00927F59">
                  <w:pPr>
                    <w:autoSpaceDE w:val="0"/>
                    <w:autoSpaceDN w:val="0"/>
                    <w:adjustRightInd w:val="0"/>
                    <w:rPr>
                      <w:rFonts w:ascii="Arial" w:hAnsi="Arial" w:cs="Arial"/>
                      <w:color w:val="000000"/>
                    </w:rPr>
                  </w:pPr>
                </w:p>
                <w:p w:rsidR="00927F59" w:rsidRPr="00927F59" w:rsidRDefault="00927F59" w:rsidP="00927F59">
                  <w:pPr>
                    <w:autoSpaceDE w:val="0"/>
                    <w:autoSpaceDN w:val="0"/>
                    <w:adjustRightInd w:val="0"/>
                    <w:rPr>
                      <w:rFonts w:ascii="Arial" w:hAnsi="Arial" w:cs="Arial"/>
                      <w:color w:val="000000"/>
                    </w:rPr>
                  </w:pPr>
                  <w:r w:rsidRPr="00927F59">
                    <w:rPr>
                      <w:rFonts w:ascii="Arial" w:hAnsi="Arial" w:cs="Arial"/>
                      <w:color w:val="000000"/>
                    </w:rPr>
                    <w:t xml:space="preserve">A former employee with veterans’ preference who previously attained career-conditional status (identified as Tenure 2 in block 24 of your last SF-50, Notification of Personnel Action), </w:t>
                  </w:r>
                  <w:r w:rsidR="00576F2F">
                    <w:rPr>
                      <w:rFonts w:ascii="Arial" w:hAnsi="Arial" w:cs="Arial"/>
                      <w:color w:val="000000"/>
                    </w:rPr>
                    <w:t>and held the grade of the position being filled (or equivalent)</w:t>
                  </w:r>
                  <w:r w:rsidR="004213FF">
                    <w:rPr>
                      <w:rFonts w:ascii="Arial" w:hAnsi="Arial" w:cs="Arial"/>
                      <w:color w:val="000000"/>
                    </w:rPr>
                    <w:t>,</w:t>
                  </w:r>
                  <w:r w:rsidR="00576F2F">
                    <w:rPr>
                      <w:rFonts w:ascii="Arial" w:hAnsi="Arial" w:cs="Arial"/>
                      <w:color w:val="000000"/>
                    </w:rPr>
                    <w:t xml:space="preserve"> </w:t>
                  </w:r>
                  <w:r w:rsidRPr="00927F59">
                    <w:rPr>
                      <w:rFonts w:ascii="Arial" w:hAnsi="Arial" w:cs="Arial"/>
                      <w:color w:val="000000"/>
                    </w:rPr>
                    <w:t xml:space="preserve">or </w:t>
                  </w:r>
                </w:p>
                <w:p w:rsidR="00A148CF" w:rsidRDefault="00A148CF" w:rsidP="00927F59">
                  <w:pPr>
                    <w:autoSpaceDE w:val="0"/>
                    <w:autoSpaceDN w:val="0"/>
                    <w:adjustRightInd w:val="0"/>
                    <w:rPr>
                      <w:rFonts w:ascii="Arial" w:hAnsi="Arial" w:cs="Arial"/>
                      <w:color w:val="000000"/>
                    </w:rPr>
                  </w:pPr>
                </w:p>
                <w:p w:rsidR="00576F2F" w:rsidRDefault="00927F59" w:rsidP="00927F59">
                  <w:pPr>
                    <w:autoSpaceDE w:val="0"/>
                    <w:autoSpaceDN w:val="0"/>
                    <w:adjustRightInd w:val="0"/>
                    <w:rPr>
                      <w:rFonts w:ascii="Arial" w:hAnsi="Arial" w:cs="Arial"/>
                      <w:color w:val="000000"/>
                    </w:rPr>
                  </w:pPr>
                  <w:r w:rsidRPr="00927F59">
                    <w:rPr>
                      <w:rFonts w:ascii="Arial" w:hAnsi="Arial" w:cs="Arial"/>
                      <w:color w:val="000000"/>
                    </w:rPr>
                    <w:t>A former Federal career-conditional employee in the competitive service (identified as Tenure 2 in block 24 of your last SF-50, Notification of Personnel Action) without veterans’ preference who separated from Government service within the past three years</w:t>
                  </w:r>
                  <w:r w:rsidR="00576F2F">
                    <w:rPr>
                      <w:rFonts w:ascii="Arial" w:hAnsi="Arial" w:cs="Arial"/>
                      <w:color w:val="000000"/>
                    </w:rPr>
                    <w:t xml:space="preserve"> and held the grade of the position being filled (or equivalent)</w:t>
                  </w:r>
                  <w:r w:rsidRPr="00927F59">
                    <w:rPr>
                      <w:rFonts w:ascii="Arial" w:hAnsi="Arial" w:cs="Arial"/>
                      <w:color w:val="000000"/>
                    </w:rPr>
                    <w:t>.</w:t>
                  </w:r>
                </w:p>
                <w:p w:rsidR="00576F2F" w:rsidRDefault="00576F2F" w:rsidP="00927F59">
                  <w:pPr>
                    <w:autoSpaceDE w:val="0"/>
                    <w:autoSpaceDN w:val="0"/>
                    <w:adjustRightInd w:val="0"/>
                    <w:rPr>
                      <w:rFonts w:ascii="Arial" w:hAnsi="Arial" w:cs="Arial"/>
                      <w:color w:val="000000"/>
                    </w:rPr>
                  </w:pPr>
                </w:p>
                <w:p w:rsidR="00733023" w:rsidRDefault="00576F2F" w:rsidP="004E3A85">
                  <w:pPr>
                    <w:autoSpaceDE w:val="0"/>
                    <w:autoSpaceDN w:val="0"/>
                    <w:adjustRightInd w:val="0"/>
                    <w:rPr>
                      <w:rFonts w:ascii="Arial" w:hAnsi="Arial" w:cs="Arial"/>
                      <w:color w:val="000000"/>
                    </w:rPr>
                  </w:pPr>
                  <w:r>
                    <w:rPr>
                      <w:rFonts w:ascii="Arial" w:hAnsi="Arial" w:cs="Arial"/>
                      <w:color w:val="000000"/>
                    </w:rPr>
                    <w:t>You must provide a copy of the SF-50 that supports your claim.</w:t>
                  </w:r>
                  <w:r w:rsidR="00927F59" w:rsidRPr="00927F59">
                    <w:rPr>
                      <w:rFonts w:ascii="Arial" w:hAnsi="Arial" w:cs="Arial"/>
                      <w:color w:val="000000"/>
                    </w:rPr>
                    <w:t xml:space="preserve"> </w:t>
                  </w:r>
                </w:p>
                <w:p w:rsidR="004E3A85" w:rsidRPr="00927F59" w:rsidRDefault="004E3A85" w:rsidP="004E3A85">
                  <w:pPr>
                    <w:autoSpaceDE w:val="0"/>
                    <w:autoSpaceDN w:val="0"/>
                    <w:adjustRightInd w:val="0"/>
                    <w:rPr>
                      <w:rFonts w:ascii="Arial" w:hAnsi="Arial" w:cs="Arial"/>
                      <w:color w:val="000000"/>
                    </w:rPr>
                  </w:pPr>
                </w:p>
              </w:tc>
            </w:tr>
          </w:tbl>
          <w:p w:rsidR="00927F59" w:rsidRDefault="00927F59"/>
        </w:tc>
      </w:tr>
      <w:tr w:rsidR="00927F59" w:rsidTr="00927F59">
        <w:tc>
          <w:tcPr>
            <w:tcW w:w="1930" w:type="dxa"/>
          </w:tcPr>
          <w:p w:rsidR="00927F59" w:rsidRDefault="00927F59" w:rsidP="00927F59">
            <w:pPr>
              <w:pStyle w:val="Default"/>
              <w:rPr>
                <w:sz w:val="22"/>
                <w:szCs w:val="22"/>
              </w:rPr>
            </w:pPr>
            <w:r>
              <w:rPr>
                <w:sz w:val="22"/>
                <w:szCs w:val="22"/>
              </w:rPr>
              <w:t xml:space="preserve">30% or More </w:t>
            </w:r>
          </w:p>
          <w:p w:rsidR="00927F59" w:rsidRDefault="00927F59" w:rsidP="00927F59">
            <w:pPr>
              <w:pStyle w:val="Default"/>
              <w:rPr>
                <w:sz w:val="22"/>
                <w:szCs w:val="22"/>
              </w:rPr>
            </w:pPr>
            <w:r>
              <w:rPr>
                <w:sz w:val="22"/>
                <w:szCs w:val="22"/>
              </w:rPr>
              <w:t xml:space="preserve">Disabled </w:t>
            </w:r>
          </w:p>
          <w:p w:rsidR="00927F59" w:rsidRPr="00E86C93" w:rsidRDefault="00927F59" w:rsidP="00927F59">
            <w:pPr>
              <w:rPr>
                <w:rFonts w:ascii="Arial" w:hAnsi="Arial" w:cs="Arial"/>
              </w:rPr>
            </w:pPr>
            <w:r w:rsidRPr="00E86C93">
              <w:rPr>
                <w:rFonts w:ascii="Arial" w:hAnsi="Arial" w:cs="Arial"/>
              </w:rPr>
              <w:t xml:space="preserve">Veteran </w:t>
            </w:r>
          </w:p>
        </w:tc>
        <w:tc>
          <w:tcPr>
            <w:tcW w:w="7646" w:type="dxa"/>
          </w:tcPr>
          <w:p w:rsidR="002F7777" w:rsidRDefault="00927F59" w:rsidP="00927F59">
            <w:pPr>
              <w:pStyle w:val="Default"/>
              <w:rPr>
                <w:sz w:val="22"/>
                <w:szCs w:val="22"/>
              </w:rPr>
            </w:pPr>
            <w:r>
              <w:rPr>
                <w:sz w:val="22"/>
                <w:szCs w:val="22"/>
              </w:rPr>
              <w:t xml:space="preserve">You may be eligible as a 30% or more disabled veteran if you are: </w:t>
            </w:r>
          </w:p>
          <w:p w:rsidR="00927F59" w:rsidRDefault="00927F59" w:rsidP="00927F59">
            <w:pPr>
              <w:pStyle w:val="Default"/>
              <w:rPr>
                <w:sz w:val="22"/>
                <w:szCs w:val="22"/>
              </w:rPr>
            </w:pPr>
            <w:r>
              <w:rPr>
                <w:sz w:val="22"/>
                <w:szCs w:val="22"/>
              </w:rPr>
              <w:t xml:space="preserve"> </w:t>
            </w:r>
          </w:p>
          <w:p w:rsidR="00CE3213" w:rsidRDefault="00927F59" w:rsidP="00927F59">
            <w:pPr>
              <w:pStyle w:val="Default"/>
              <w:rPr>
                <w:sz w:val="22"/>
                <w:szCs w:val="22"/>
              </w:rPr>
            </w:pPr>
            <w:r>
              <w:rPr>
                <w:sz w:val="22"/>
                <w:szCs w:val="22"/>
              </w:rPr>
              <w:t xml:space="preserve">Retired from active military service with a disability rating of 30% or more; or </w:t>
            </w:r>
          </w:p>
          <w:p w:rsidR="00CE3213" w:rsidRDefault="00CE3213" w:rsidP="00927F59">
            <w:pPr>
              <w:pStyle w:val="Default"/>
              <w:rPr>
                <w:sz w:val="22"/>
                <w:szCs w:val="22"/>
              </w:rPr>
            </w:pPr>
          </w:p>
          <w:p w:rsidR="00CE3213" w:rsidRDefault="00CE3213" w:rsidP="00927F59">
            <w:pPr>
              <w:pStyle w:val="Default"/>
              <w:rPr>
                <w:sz w:val="22"/>
                <w:szCs w:val="22"/>
              </w:rPr>
            </w:pPr>
            <w:r>
              <w:rPr>
                <w:sz w:val="22"/>
                <w:szCs w:val="22"/>
              </w:rPr>
              <w:t>Received a r</w:t>
            </w:r>
            <w:r w:rsidR="00927F59">
              <w:rPr>
                <w:sz w:val="22"/>
                <w:szCs w:val="22"/>
              </w:rPr>
              <w:t>at</w:t>
            </w:r>
            <w:r>
              <w:rPr>
                <w:sz w:val="22"/>
                <w:szCs w:val="22"/>
              </w:rPr>
              <w:t>ing</w:t>
            </w:r>
            <w:r w:rsidR="00927F59">
              <w:rPr>
                <w:sz w:val="22"/>
                <w:szCs w:val="22"/>
              </w:rPr>
              <w:t xml:space="preserve"> </w:t>
            </w:r>
            <w:r>
              <w:rPr>
                <w:sz w:val="22"/>
                <w:szCs w:val="22"/>
              </w:rPr>
              <w:t xml:space="preserve">from </w:t>
            </w:r>
            <w:r w:rsidR="00927F59">
              <w:rPr>
                <w:sz w:val="22"/>
                <w:szCs w:val="22"/>
              </w:rPr>
              <w:t xml:space="preserve">the Department of Veterans Affairs (VA) </w:t>
            </w:r>
            <w:r>
              <w:rPr>
                <w:sz w:val="22"/>
                <w:szCs w:val="22"/>
              </w:rPr>
              <w:t>dated 1</w:t>
            </w:r>
            <w:r w:rsidR="00927F59">
              <w:rPr>
                <w:sz w:val="22"/>
                <w:szCs w:val="22"/>
              </w:rPr>
              <w:t>991 or later to include disability determinations from a branch of the Armed Forces at any time, as having a compensable service-connected disability of 30% or more.</w:t>
            </w:r>
          </w:p>
          <w:p w:rsidR="00927F59" w:rsidRDefault="00927F59" w:rsidP="00927F59">
            <w:pPr>
              <w:pStyle w:val="Default"/>
              <w:rPr>
                <w:sz w:val="22"/>
                <w:szCs w:val="22"/>
              </w:rPr>
            </w:pPr>
            <w:r>
              <w:rPr>
                <w:sz w:val="22"/>
                <w:szCs w:val="22"/>
              </w:rPr>
              <w:t xml:space="preserve"> </w:t>
            </w:r>
          </w:p>
          <w:p w:rsidR="00927F59" w:rsidRDefault="00927F59" w:rsidP="004317FA">
            <w:pPr>
              <w:pStyle w:val="Default"/>
            </w:pPr>
            <w:r>
              <w:rPr>
                <w:sz w:val="22"/>
                <w:szCs w:val="22"/>
              </w:rPr>
              <w:t xml:space="preserve">30% or more disabled veteran information is located at the following website: </w:t>
            </w:r>
            <w:hyperlink r:id="rId6" w:anchor="30%Disabled" w:history="1">
              <w:r w:rsidR="004317FA">
                <w:rPr>
                  <w:rStyle w:val="Hyperlink"/>
                </w:rPr>
                <w:t>Click here</w:t>
              </w:r>
            </w:hyperlink>
            <w:r>
              <w:t xml:space="preserve"> </w:t>
            </w:r>
          </w:p>
          <w:p w:rsidR="002F7777" w:rsidRDefault="002F7777" w:rsidP="00927F59"/>
          <w:p w:rsidR="002F7777" w:rsidRDefault="002F7777" w:rsidP="004E3A85">
            <w:pPr>
              <w:rPr>
                <w:rFonts w:ascii="Arial" w:hAnsi="Arial" w:cs="Arial"/>
              </w:rPr>
            </w:pPr>
            <w:r w:rsidRPr="0062652E">
              <w:rPr>
                <w:rFonts w:ascii="Arial" w:hAnsi="Arial" w:cs="Arial"/>
              </w:rPr>
              <w:t xml:space="preserve">You must provide a copy of your DD-214 (member 4 copy), letter that shows </w:t>
            </w:r>
            <w:r w:rsidRPr="0062652E">
              <w:rPr>
                <w:rFonts w:ascii="Arial" w:hAnsi="Arial" w:cs="Arial"/>
              </w:rPr>
              <w:lastRenderedPageBreak/>
              <w:t>your disability percentage, and a completed SF-15</w:t>
            </w:r>
            <w:r w:rsidR="004E3A85">
              <w:rPr>
                <w:rFonts w:ascii="Arial" w:hAnsi="Arial" w:cs="Arial"/>
              </w:rPr>
              <w:t xml:space="preserve">, Application </w:t>
            </w:r>
            <w:r w:rsidRPr="0062652E">
              <w:rPr>
                <w:rFonts w:ascii="Arial" w:hAnsi="Arial" w:cs="Arial"/>
              </w:rPr>
              <w:t xml:space="preserve">for 10 point </w:t>
            </w:r>
            <w:r w:rsidR="004E3A85">
              <w:rPr>
                <w:rFonts w:ascii="Arial" w:hAnsi="Arial" w:cs="Arial"/>
              </w:rPr>
              <w:t xml:space="preserve">veterans preference </w:t>
            </w:r>
            <w:hyperlink r:id="rId7" w:history="1">
              <w:r w:rsidR="004E3A85" w:rsidRPr="004E3A85">
                <w:rPr>
                  <w:rStyle w:val="Hyperlink"/>
                  <w:rFonts w:ascii="Arial" w:hAnsi="Arial" w:cs="Arial"/>
                </w:rPr>
                <w:t>Click here</w:t>
              </w:r>
            </w:hyperlink>
          </w:p>
          <w:p w:rsidR="00367827" w:rsidRPr="0062652E" w:rsidRDefault="00367827" w:rsidP="004E3A85">
            <w:pPr>
              <w:rPr>
                <w:rFonts w:ascii="Arial" w:hAnsi="Arial" w:cs="Arial"/>
              </w:rPr>
            </w:pPr>
          </w:p>
        </w:tc>
      </w:tr>
      <w:tr w:rsidR="00927F59" w:rsidTr="00927F59">
        <w:tc>
          <w:tcPr>
            <w:tcW w:w="1930" w:type="dxa"/>
          </w:tcPr>
          <w:p w:rsidR="00927F59" w:rsidRDefault="00927F59" w:rsidP="00927F59">
            <w:pPr>
              <w:pStyle w:val="Default"/>
              <w:rPr>
                <w:sz w:val="22"/>
                <w:szCs w:val="22"/>
              </w:rPr>
            </w:pPr>
            <w:r>
              <w:rPr>
                <w:sz w:val="22"/>
                <w:szCs w:val="22"/>
              </w:rPr>
              <w:lastRenderedPageBreak/>
              <w:t xml:space="preserve">Persons with </w:t>
            </w:r>
          </w:p>
          <w:p w:rsidR="00927F59" w:rsidRPr="00145B6B" w:rsidRDefault="00CC5CD0" w:rsidP="00927F59">
            <w:pPr>
              <w:rPr>
                <w:rFonts w:ascii="Arial" w:hAnsi="Arial" w:cs="Arial"/>
              </w:rPr>
            </w:pPr>
            <w:r>
              <w:rPr>
                <w:rFonts w:ascii="Arial" w:hAnsi="Arial" w:cs="Arial"/>
              </w:rPr>
              <w:t>Disabilities</w:t>
            </w:r>
          </w:p>
        </w:tc>
        <w:tc>
          <w:tcPr>
            <w:tcW w:w="7646" w:type="dxa"/>
          </w:tcPr>
          <w:p w:rsidR="00927F59" w:rsidRDefault="00927F59" w:rsidP="00927F59">
            <w:pPr>
              <w:pStyle w:val="Default"/>
              <w:rPr>
                <w:sz w:val="22"/>
                <w:szCs w:val="22"/>
              </w:rPr>
            </w:pPr>
            <w:r>
              <w:rPr>
                <w:sz w:val="22"/>
                <w:szCs w:val="22"/>
              </w:rPr>
              <w:t xml:space="preserve">You may be eligible as a Person with Disability if you are: </w:t>
            </w:r>
          </w:p>
          <w:p w:rsidR="0062652E" w:rsidRDefault="0062652E" w:rsidP="00927F59">
            <w:pPr>
              <w:pStyle w:val="Default"/>
              <w:rPr>
                <w:sz w:val="22"/>
                <w:szCs w:val="22"/>
              </w:rPr>
            </w:pPr>
          </w:p>
          <w:p w:rsidR="00927F59" w:rsidRDefault="00927F59" w:rsidP="00927F59">
            <w:pPr>
              <w:pStyle w:val="Default"/>
              <w:rPr>
                <w:sz w:val="22"/>
                <w:szCs w:val="22"/>
              </w:rPr>
            </w:pPr>
            <w:r>
              <w:rPr>
                <w:sz w:val="22"/>
                <w:szCs w:val="22"/>
              </w:rPr>
              <w:t xml:space="preserve">An individual with </w:t>
            </w:r>
            <w:r w:rsidR="00CC5CD0">
              <w:rPr>
                <w:sz w:val="22"/>
                <w:szCs w:val="22"/>
              </w:rPr>
              <w:t>intellectual disability</w:t>
            </w:r>
            <w:r>
              <w:rPr>
                <w:sz w:val="22"/>
                <w:szCs w:val="22"/>
              </w:rPr>
              <w:t xml:space="preserve">, a severe physical disability, or a psychiatric </w:t>
            </w:r>
            <w:r w:rsidR="00CC5CD0">
              <w:rPr>
                <w:sz w:val="22"/>
                <w:szCs w:val="22"/>
              </w:rPr>
              <w:t>disability</w:t>
            </w:r>
            <w:r>
              <w:rPr>
                <w:sz w:val="22"/>
                <w:szCs w:val="22"/>
              </w:rPr>
              <w:t xml:space="preserve"> which has been certified by a licensed medical professional</w:t>
            </w:r>
            <w:r w:rsidR="004236B1">
              <w:rPr>
                <w:sz w:val="22"/>
                <w:szCs w:val="22"/>
              </w:rPr>
              <w:t>,</w:t>
            </w:r>
            <w:r>
              <w:rPr>
                <w:sz w:val="22"/>
                <w:szCs w:val="22"/>
              </w:rPr>
              <w:t xml:space="preserve"> vocational rehabilitation specialist or any other Federal, State or District of Columbia agency that issues or provides disability benefits. </w:t>
            </w:r>
          </w:p>
          <w:p w:rsidR="00927F59" w:rsidRDefault="00927F59" w:rsidP="00927F59">
            <w:pPr>
              <w:pStyle w:val="Default"/>
              <w:rPr>
                <w:sz w:val="22"/>
                <w:szCs w:val="22"/>
              </w:rPr>
            </w:pPr>
            <w:r>
              <w:rPr>
                <w:sz w:val="22"/>
                <w:szCs w:val="22"/>
              </w:rPr>
              <w:t xml:space="preserve">Eligibility information is located at the following website: </w:t>
            </w:r>
          </w:p>
          <w:p w:rsidR="00927F59" w:rsidRDefault="008E1C5D" w:rsidP="00927F59">
            <w:hyperlink r:id="rId8" w:history="1">
              <w:r w:rsidR="000753F5">
                <w:rPr>
                  <w:rStyle w:val="Hyperlink"/>
                </w:rPr>
                <w:t>Click here</w:t>
              </w:r>
            </w:hyperlink>
            <w:r w:rsidR="00927F59">
              <w:t xml:space="preserve"> </w:t>
            </w:r>
          </w:p>
          <w:p w:rsidR="0062652E" w:rsidRDefault="0062652E" w:rsidP="00927F59"/>
          <w:p w:rsidR="00367827" w:rsidRDefault="0062652E" w:rsidP="00927F59">
            <w:pPr>
              <w:rPr>
                <w:rFonts w:ascii="Arial" w:hAnsi="Arial" w:cs="Arial"/>
              </w:rPr>
            </w:pPr>
            <w:r w:rsidRPr="0062652E">
              <w:rPr>
                <w:rFonts w:ascii="Arial" w:hAnsi="Arial" w:cs="Arial"/>
              </w:rPr>
              <w:t xml:space="preserve">You must provide a copy of the letter documenting your disability from a licensed professional as described above. </w:t>
            </w:r>
          </w:p>
          <w:p w:rsidR="0062652E" w:rsidRPr="0062652E" w:rsidRDefault="0062652E" w:rsidP="00927F59">
            <w:pPr>
              <w:rPr>
                <w:rFonts w:ascii="Arial" w:hAnsi="Arial" w:cs="Arial"/>
              </w:rPr>
            </w:pPr>
            <w:r w:rsidRPr="0062652E">
              <w:rPr>
                <w:rFonts w:ascii="Arial" w:hAnsi="Arial" w:cs="Arial"/>
              </w:rPr>
              <w:t xml:space="preserve"> </w:t>
            </w:r>
          </w:p>
        </w:tc>
      </w:tr>
      <w:tr w:rsidR="00927F59" w:rsidTr="00927F59">
        <w:tc>
          <w:tcPr>
            <w:tcW w:w="1930" w:type="dxa"/>
          </w:tcPr>
          <w:p w:rsidR="00927F59" w:rsidRDefault="00927F59" w:rsidP="00927F59">
            <w:pPr>
              <w:pStyle w:val="Default"/>
              <w:rPr>
                <w:sz w:val="22"/>
                <w:szCs w:val="22"/>
              </w:rPr>
            </w:pPr>
            <w:r>
              <w:rPr>
                <w:sz w:val="22"/>
                <w:szCs w:val="22"/>
              </w:rPr>
              <w:t xml:space="preserve">Executive </w:t>
            </w:r>
          </w:p>
          <w:p w:rsidR="00927F59" w:rsidRDefault="00927F59" w:rsidP="00927F59">
            <w:pPr>
              <w:pStyle w:val="Default"/>
              <w:rPr>
                <w:sz w:val="22"/>
                <w:szCs w:val="22"/>
              </w:rPr>
            </w:pPr>
            <w:r>
              <w:rPr>
                <w:sz w:val="22"/>
                <w:szCs w:val="22"/>
              </w:rPr>
              <w:t xml:space="preserve">Order 12721 </w:t>
            </w:r>
          </w:p>
          <w:p w:rsidR="00927F59" w:rsidRPr="00FF5531" w:rsidRDefault="00927F59" w:rsidP="00927F59">
            <w:pPr>
              <w:rPr>
                <w:rFonts w:ascii="Arial" w:hAnsi="Arial" w:cs="Arial"/>
              </w:rPr>
            </w:pPr>
            <w:r w:rsidRPr="00FF5531">
              <w:rPr>
                <w:rFonts w:ascii="Arial" w:hAnsi="Arial" w:cs="Arial"/>
              </w:rPr>
              <w:t xml:space="preserve">Eligible </w:t>
            </w:r>
          </w:p>
        </w:tc>
        <w:tc>
          <w:tcPr>
            <w:tcW w:w="7646" w:type="dxa"/>
          </w:tcPr>
          <w:p w:rsidR="00927F59" w:rsidRDefault="00927F59" w:rsidP="00927F59">
            <w:pPr>
              <w:pStyle w:val="Default"/>
              <w:rPr>
                <w:sz w:val="22"/>
                <w:szCs w:val="22"/>
              </w:rPr>
            </w:pPr>
            <w:r>
              <w:rPr>
                <w:sz w:val="22"/>
                <w:szCs w:val="22"/>
              </w:rPr>
              <w:t xml:space="preserve">You may be eligible under Executive Order 12721 if you: </w:t>
            </w:r>
          </w:p>
          <w:p w:rsidR="0062652E" w:rsidRDefault="0062652E" w:rsidP="00927F59">
            <w:pPr>
              <w:pStyle w:val="Default"/>
              <w:rPr>
                <w:sz w:val="22"/>
                <w:szCs w:val="22"/>
              </w:rPr>
            </w:pPr>
          </w:p>
          <w:p w:rsidR="00927F59" w:rsidRDefault="00927F59" w:rsidP="00927F59">
            <w:pPr>
              <w:pStyle w:val="Default"/>
              <w:rPr>
                <w:sz w:val="22"/>
                <w:szCs w:val="22"/>
              </w:rPr>
            </w:pPr>
            <w:r>
              <w:rPr>
                <w:sz w:val="22"/>
                <w:szCs w:val="22"/>
              </w:rPr>
              <w:t xml:space="preserve">Worked overseas as an appropriated Fund Federal employee while a family member of a civilian, non-appropriated fund, or uniformed service member serving overseas, for an accumulated total of 52 weeks and received a fully successful (pass) or better performance appraisal. This appointment eligibility is effective for a period of three years following the date of return from overseas to the United States to reassume residence. </w:t>
            </w:r>
          </w:p>
          <w:p w:rsidR="0062652E" w:rsidRDefault="00927F59" w:rsidP="00927F59">
            <w:r w:rsidRPr="00A603E5">
              <w:rPr>
                <w:rFonts w:ascii="Arial" w:hAnsi="Arial" w:cs="Arial"/>
              </w:rPr>
              <w:t>Eligibility information is located in the Code of Federal Regulations:</w:t>
            </w:r>
            <w:r>
              <w:t xml:space="preserve"> </w:t>
            </w:r>
            <w:hyperlink r:id="rId9" w:history="1">
              <w:r w:rsidR="00A603E5" w:rsidRPr="00A603E5">
                <w:rPr>
                  <w:rStyle w:val="Hyperlink"/>
                </w:rPr>
                <w:t>Click here</w:t>
              </w:r>
            </w:hyperlink>
          </w:p>
          <w:p w:rsidR="00A603E5" w:rsidRDefault="00A603E5" w:rsidP="00927F59"/>
          <w:p w:rsidR="00927F59" w:rsidRDefault="0062652E" w:rsidP="00927F59">
            <w:pPr>
              <w:rPr>
                <w:rFonts w:ascii="Arial" w:hAnsi="Arial" w:cs="Arial"/>
              </w:rPr>
            </w:pPr>
            <w:r w:rsidRPr="0062652E">
              <w:rPr>
                <w:rFonts w:ascii="Arial" w:hAnsi="Arial" w:cs="Arial"/>
              </w:rPr>
              <w:t>You must provide the SF-50 supporting your claim, and a copy of your performance appraisal.</w:t>
            </w:r>
            <w:r w:rsidR="00927F59" w:rsidRPr="0062652E">
              <w:rPr>
                <w:rFonts w:ascii="Arial" w:hAnsi="Arial" w:cs="Arial"/>
              </w:rPr>
              <w:t xml:space="preserve"> </w:t>
            </w:r>
          </w:p>
          <w:p w:rsidR="00367827" w:rsidRPr="0062652E" w:rsidRDefault="00367827" w:rsidP="00927F59">
            <w:pPr>
              <w:rPr>
                <w:rFonts w:ascii="Arial" w:hAnsi="Arial" w:cs="Arial"/>
              </w:rPr>
            </w:pPr>
          </w:p>
        </w:tc>
      </w:tr>
      <w:tr w:rsidR="00927F59" w:rsidTr="00927F59">
        <w:tc>
          <w:tcPr>
            <w:tcW w:w="1930" w:type="dxa"/>
          </w:tcPr>
          <w:p w:rsidR="00927F59" w:rsidRDefault="00927F59" w:rsidP="00927F59">
            <w:pPr>
              <w:pStyle w:val="Default"/>
              <w:rPr>
                <w:sz w:val="22"/>
                <w:szCs w:val="22"/>
              </w:rPr>
            </w:pPr>
            <w:r>
              <w:rPr>
                <w:sz w:val="22"/>
                <w:szCs w:val="22"/>
              </w:rPr>
              <w:t xml:space="preserve">Military </w:t>
            </w:r>
          </w:p>
          <w:p w:rsidR="00927F59" w:rsidRPr="0083452A" w:rsidRDefault="00927F59" w:rsidP="00927F59">
            <w:pPr>
              <w:rPr>
                <w:rFonts w:ascii="Arial" w:hAnsi="Arial" w:cs="Arial"/>
              </w:rPr>
            </w:pPr>
            <w:r w:rsidRPr="0083452A">
              <w:rPr>
                <w:rFonts w:ascii="Arial" w:hAnsi="Arial" w:cs="Arial"/>
              </w:rPr>
              <w:t xml:space="preserve">Spouse under Executive Order 13473 </w:t>
            </w:r>
          </w:p>
        </w:tc>
        <w:tc>
          <w:tcPr>
            <w:tcW w:w="7646" w:type="dxa"/>
          </w:tcPr>
          <w:p w:rsidR="00927F59" w:rsidRDefault="00927F59" w:rsidP="00927F59">
            <w:pPr>
              <w:pStyle w:val="Default"/>
              <w:rPr>
                <w:sz w:val="22"/>
                <w:szCs w:val="22"/>
              </w:rPr>
            </w:pPr>
            <w:r>
              <w:rPr>
                <w:sz w:val="22"/>
                <w:szCs w:val="22"/>
              </w:rPr>
              <w:t xml:space="preserve">You may be eligible under Executive Order 13473 if you are: </w:t>
            </w:r>
          </w:p>
          <w:p w:rsidR="003250EB" w:rsidRDefault="003250EB" w:rsidP="00927F59">
            <w:pPr>
              <w:pStyle w:val="Default"/>
              <w:rPr>
                <w:sz w:val="22"/>
                <w:szCs w:val="22"/>
              </w:rPr>
            </w:pPr>
          </w:p>
          <w:p w:rsidR="00903955" w:rsidRDefault="00927F59" w:rsidP="00927F59">
            <w:pPr>
              <w:pStyle w:val="Default"/>
              <w:rPr>
                <w:sz w:val="22"/>
                <w:szCs w:val="22"/>
              </w:rPr>
            </w:pPr>
            <w:r>
              <w:rPr>
                <w:sz w:val="22"/>
                <w:szCs w:val="22"/>
              </w:rPr>
              <w:t>A spouse of a member of the armed forces serving on active duty who has orders specifying a permanent change of station (not for training)</w:t>
            </w:r>
            <w:r w:rsidR="00903955">
              <w:rPr>
                <w:sz w:val="22"/>
                <w:szCs w:val="22"/>
              </w:rPr>
              <w:t>.  Must provide a copy  of the service member’s</w:t>
            </w:r>
            <w:r>
              <w:rPr>
                <w:sz w:val="22"/>
                <w:szCs w:val="22"/>
              </w:rPr>
              <w:t xml:space="preserve"> </w:t>
            </w:r>
            <w:r w:rsidR="00903955">
              <w:rPr>
                <w:sz w:val="22"/>
                <w:szCs w:val="22"/>
              </w:rPr>
              <w:t xml:space="preserve">active duty orders which authorize a permanent change of station, and documentation verifying marriage to the member of the armed forces; </w:t>
            </w:r>
            <w:r>
              <w:rPr>
                <w:sz w:val="22"/>
                <w:szCs w:val="22"/>
              </w:rPr>
              <w:t>or</w:t>
            </w:r>
          </w:p>
          <w:p w:rsidR="00927F59" w:rsidRDefault="00927F59" w:rsidP="00927F59">
            <w:pPr>
              <w:pStyle w:val="Default"/>
              <w:rPr>
                <w:sz w:val="22"/>
                <w:szCs w:val="22"/>
              </w:rPr>
            </w:pPr>
            <w:r>
              <w:rPr>
                <w:sz w:val="22"/>
                <w:szCs w:val="22"/>
              </w:rPr>
              <w:t xml:space="preserve"> </w:t>
            </w:r>
          </w:p>
          <w:p w:rsidR="00927F59" w:rsidRDefault="00927F59" w:rsidP="00927F59">
            <w:pPr>
              <w:pStyle w:val="Default"/>
              <w:rPr>
                <w:sz w:val="22"/>
                <w:szCs w:val="22"/>
              </w:rPr>
            </w:pPr>
            <w:r>
              <w:rPr>
                <w:sz w:val="22"/>
                <w:szCs w:val="22"/>
              </w:rPr>
              <w:t>A spouse of a 100 percent disabled service member injured while on active duty</w:t>
            </w:r>
            <w:r w:rsidR="00903955">
              <w:rPr>
                <w:sz w:val="22"/>
                <w:szCs w:val="22"/>
              </w:rPr>
              <w:t>.  Must provide documentation showing the member of the armed forces was released d</w:t>
            </w:r>
            <w:r w:rsidR="004213FF">
              <w:rPr>
                <w:sz w:val="22"/>
                <w:szCs w:val="22"/>
              </w:rPr>
              <w:t>u</w:t>
            </w:r>
            <w:r w:rsidR="00903955">
              <w:rPr>
                <w:sz w:val="22"/>
                <w:szCs w:val="22"/>
              </w:rPr>
              <w:t>e to a service-connected disability</w:t>
            </w:r>
            <w:r w:rsidR="0061527A">
              <w:rPr>
                <w:sz w:val="22"/>
                <w:szCs w:val="22"/>
              </w:rPr>
              <w:t>; documentation that the member of the armed forces was retired, released, or discharged from active duty with a disability rating of 100% and documentation verifying marriage to the member of the armed forces</w:t>
            </w:r>
            <w:r>
              <w:rPr>
                <w:sz w:val="22"/>
                <w:szCs w:val="22"/>
              </w:rPr>
              <w:t xml:space="preserve">; or </w:t>
            </w:r>
          </w:p>
          <w:p w:rsidR="00903955" w:rsidRDefault="00903955" w:rsidP="00927F59">
            <w:pPr>
              <w:pStyle w:val="Default"/>
              <w:rPr>
                <w:sz w:val="22"/>
                <w:szCs w:val="22"/>
              </w:rPr>
            </w:pPr>
          </w:p>
          <w:p w:rsidR="00927F59" w:rsidRDefault="00927F59" w:rsidP="00927F59">
            <w:pPr>
              <w:pStyle w:val="Default"/>
              <w:rPr>
                <w:sz w:val="22"/>
                <w:szCs w:val="22"/>
              </w:rPr>
            </w:pPr>
            <w:r>
              <w:rPr>
                <w:sz w:val="22"/>
                <w:szCs w:val="22"/>
              </w:rPr>
              <w:t xml:space="preserve">An un-remarried widow or widower of a service member who was killed while performing active duty. </w:t>
            </w:r>
            <w:r w:rsidR="0061527A">
              <w:rPr>
                <w:sz w:val="22"/>
                <w:szCs w:val="22"/>
              </w:rPr>
              <w:t>Must provide documentation showing</w:t>
            </w:r>
            <w:r w:rsidR="007A2850">
              <w:rPr>
                <w:sz w:val="22"/>
                <w:szCs w:val="22"/>
              </w:rPr>
              <w:t xml:space="preserve"> the individual was released or discharged from active duty d</w:t>
            </w:r>
            <w:r w:rsidR="004213FF">
              <w:rPr>
                <w:sz w:val="22"/>
                <w:szCs w:val="22"/>
              </w:rPr>
              <w:t>ue</w:t>
            </w:r>
            <w:r w:rsidR="007A2850">
              <w:rPr>
                <w:sz w:val="22"/>
                <w:szCs w:val="22"/>
              </w:rPr>
              <w:t xml:space="preserve"> to his or her death while on active duty; documentation verifying marriage to the member of the armed forces, and a </w:t>
            </w:r>
            <w:proofErr w:type="gramStart"/>
            <w:r w:rsidR="007A2850">
              <w:rPr>
                <w:sz w:val="22"/>
                <w:szCs w:val="22"/>
              </w:rPr>
              <w:t xml:space="preserve">statement </w:t>
            </w:r>
            <w:bookmarkStart w:id="0" w:name="_GoBack"/>
            <w:bookmarkEnd w:id="0"/>
            <w:r w:rsidR="007A2850">
              <w:rPr>
                <w:sz w:val="22"/>
                <w:szCs w:val="22"/>
              </w:rPr>
              <w:t>certifying</w:t>
            </w:r>
            <w:proofErr w:type="gramEnd"/>
            <w:r w:rsidR="007A2850">
              <w:rPr>
                <w:sz w:val="22"/>
                <w:szCs w:val="22"/>
              </w:rPr>
              <w:t xml:space="preserve"> that he or she is an unmarried widow or widower of the service member.</w:t>
            </w:r>
            <w:r w:rsidR="0061527A">
              <w:rPr>
                <w:sz w:val="22"/>
                <w:szCs w:val="22"/>
              </w:rPr>
              <w:t xml:space="preserve"> </w:t>
            </w:r>
          </w:p>
          <w:p w:rsidR="003250EB" w:rsidRDefault="007A2850" w:rsidP="00927F59">
            <w:pPr>
              <w:pStyle w:val="Default"/>
              <w:rPr>
                <w:sz w:val="22"/>
                <w:szCs w:val="22"/>
              </w:rPr>
            </w:pPr>
            <w:r>
              <w:rPr>
                <w:sz w:val="22"/>
                <w:szCs w:val="22"/>
              </w:rPr>
              <w:lastRenderedPageBreak/>
              <w:t xml:space="preserve"> </w:t>
            </w:r>
          </w:p>
          <w:p w:rsidR="00927F59" w:rsidRDefault="00927F59" w:rsidP="00927F59">
            <w:pPr>
              <w:pStyle w:val="Default"/>
              <w:rPr>
                <w:sz w:val="22"/>
                <w:szCs w:val="22"/>
              </w:rPr>
            </w:pPr>
            <w:r>
              <w:rPr>
                <w:sz w:val="22"/>
                <w:szCs w:val="22"/>
              </w:rPr>
              <w:t xml:space="preserve">Eligibility for this noncompetitive appointment is limited to a maximum of 2 years from the date of the applicable documentation for the permanent change of station, 100 percent disability, or death. </w:t>
            </w:r>
          </w:p>
          <w:p w:rsidR="003250EB" w:rsidRDefault="003250EB" w:rsidP="00927F59">
            <w:pPr>
              <w:pStyle w:val="Default"/>
              <w:rPr>
                <w:sz w:val="22"/>
                <w:szCs w:val="22"/>
              </w:rPr>
            </w:pPr>
          </w:p>
          <w:p w:rsidR="00927F59" w:rsidRDefault="00927F59" w:rsidP="00927F59">
            <w:pPr>
              <w:pStyle w:val="Default"/>
              <w:rPr>
                <w:sz w:val="22"/>
                <w:szCs w:val="22"/>
              </w:rPr>
            </w:pPr>
            <w:r>
              <w:rPr>
                <w:sz w:val="22"/>
                <w:szCs w:val="22"/>
              </w:rPr>
              <w:t xml:space="preserve">Spouses eligible based on a permanent change of duty station are limited to the geographic area as specified in the permanent change of station orders. This includes the surrounding area which people reasonably can be expected to travel daily to and from work. </w:t>
            </w:r>
          </w:p>
          <w:p w:rsidR="003250EB" w:rsidRDefault="003250EB" w:rsidP="00927F59">
            <w:pPr>
              <w:pStyle w:val="Default"/>
              <w:rPr>
                <w:sz w:val="22"/>
                <w:szCs w:val="22"/>
              </w:rPr>
            </w:pPr>
          </w:p>
          <w:p w:rsidR="003250EB" w:rsidRDefault="00927F59" w:rsidP="00927F59">
            <w:r w:rsidRPr="00114121">
              <w:rPr>
                <w:rFonts w:ascii="Arial" w:hAnsi="Arial" w:cs="Arial"/>
              </w:rPr>
              <w:t>Eligibility information is located in the Code of Federal Regulations:</w:t>
            </w:r>
            <w:r>
              <w:t xml:space="preserve"> </w:t>
            </w:r>
            <w:hyperlink r:id="rId10" w:history="1">
              <w:r w:rsidR="00C433CE" w:rsidRPr="00C433CE">
                <w:rPr>
                  <w:rStyle w:val="Hyperlink"/>
                </w:rPr>
                <w:t>Click here</w:t>
              </w:r>
            </w:hyperlink>
          </w:p>
          <w:p w:rsidR="00927F59" w:rsidRDefault="00927F59" w:rsidP="00927F59">
            <w:r>
              <w:t xml:space="preserve"> </w:t>
            </w:r>
          </w:p>
        </w:tc>
      </w:tr>
      <w:tr w:rsidR="00927F59" w:rsidTr="00927F59">
        <w:tc>
          <w:tcPr>
            <w:tcW w:w="1930" w:type="dxa"/>
          </w:tcPr>
          <w:p w:rsidR="00927F59" w:rsidRPr="000755F0" w:rsidRDefault="00927F59" w:rsidP="00927F59">
            <w:pPr>
              <w:pStyle w:val="Default"/>
              <w:rPr>
                <w:sz w:val="22"/>
                <w:szCs w:val="22"/>
              </w:rPr>
            </w:pPr>
            <w:r w:rsidRPr="000755F0">
              <w:rPr>
                <w:sz w:val="22"/>
                <w:szCs w:val="22"/>
              </w:rPr>
              <w:lastRenderedPageBreak/>
              <w:t xml:space="preserve">Interchange </w:t>
            </w:r>
          </w:p>
          <w:p w:rsidR="00927F59" w:rsidRDefault="00927F59" w:rsidP="00927F59">
            <w:r w:rsidRPr="000755F0">
              <w:rPr>
                <w:rFonts w:ascii="Arial" w:hAnsi="Arial" w:cs="Arial"/>
              </w:rPr>
              <w:t>Agreement</w:t>
            </w:r>
            <w:r>
              <w:t xml:space="preserve"> </w:t>
            </w:r>
          </w:p>
        </w:tc>
        <w:tc>
          <w:tcPr>
            <w:tcW w:w="7646" w:type="dxa"/>
          </w:tcPr>
          <w:p w:rsidR="00927F59" w:rsidRDefault="00927F59" w:rsidP="00927F59">
            <w:pPr>
              <w:pStyle w:val="Default"/>
              <w:rPr>
                <w:sz w:val="22"/>
                <w:szCs w:val="22"/>
              </w:rPr>
            </w:pPr>
            <w:r>
              <w:rPr>
                <w:sz w:val="22"/>
                <w:szCs w:val="22"/>
              </w:rPr>
              <w:t xml:space="preserve">You may be eligible under an Interchange Agreement if you are: </w:t>
            </w:r>
          </w:p>
          <w:p w:rsidR="00C433CE" w:rsidRDefault="00C433CE" w:rsidP="00927F59">
            <w:pPr>
              <w:pStyle w:val="Default"/>
              <w:rPr>
                <w:sz w:val="22"/>
                <w:szCs w:val="22"/>
              </w:rPr>
            </w:pPr>
          </w:p>
          <w:p w:rsidR="00367827" w:rsidRDefault="00927F59" w:rsidP="008E1C5D">
            <w:r w:rsidRPr="00C433CE">
              <w:rPr>
                <w:rFonts w:ascii="Arial" w:hAnsi="Arial" w:cs="Arial"/>
              </w:rPr>
              <w:t>An employee covered by an interchange agreement. Eligibility requirements are explained at the following website:</w:t>
            </w:r>
            <w:r>
              <w:t xml:space="preserve"> </w:t>
            </w:r>
            <w:r w:rsidR="000755F0">
              <w:t xml:space="preserve"> </w:t>
            </w:r>
          </w:p>
          <w:p w:rsidR="008E1C5D" w:rsidRDefault="008E1C5D" w:rsidP="008E1C5D">
            <w:hyperlink r:id="rId11" w:anchor="InterchangeAgreementsWithOtherMeritSystems" w:history="1">
              <w:r>
                <w:rPr>
                  <w:rStyle w:val="Hyperlink"/>
                </w:rPr>
                <w:t xml:space="preserve">Click </w:t>
              </w:r>
              <w:r>
                <w:rPr>
                  <w:rStyle w:val="Hyperlink"/>
                </w:rPr>
                <w:t>h</w:t>
              </w:r>
              <w:r>
                <w:rPr>
                  <w:rStyle w:val="Hyperlink"/>
                </w:rPr>
                <w:t>ere</w:t>
              </w:r>
            </w:hyperlink>
          </w:p>
          <w:p w:rsidR="008E1C5D" w:rsidRDefault="008E1C5D" w:rsidP="008E1C5D"/>
        </w:tc>
      </w:tr>
      <w:tr w:rsidR="00927F59" w:rsidTr="00927F59">
        <w:tc>
          <w:tcPr>
            <w:tcW w:w="1930" w:type="dxa"/>
          </w:tcPr>
          <w:p w:rsidR="00927F59" w:rsidRPr="004317FA" w:rsidRDefault="00927F59" w:rsidP="00927F59">
            <w:pPr>
              <w:pStyle w:val="Default"/>
              <w:rPr>
                <w:sz w:val="22"/>
                <w:szCs w:val="22"/>
              </w:rPr>
            </w:pPr>
            <w:r w:rsidRPr="004317FA">
              <w:rPr>
                <w:sz w:val="22"/>
                <w:szCs w:val="22"/>
              </w:rPr>
              <w:t xml:space="preserve">Postal </w:t>
            </w:r>
          </w:p>
          <w:p w:rsidR="00927F59" w:rsidRPr="004317FA" w:rsidRDefault="00927F59" w:rsidP="00927F59">
            <w:pPr>
              <w:pStyle w:val="Default"/>
              <w:rPr>
                <w:sz w:val="22"/>
                <w:szCs w:val="22"/>
              </w:rPr>
            </w:pPr>
            <w:r w:rsidRPr="004317FA">
              <w:rPr>
                <w:sz w:val="22"/>
                <w:szCs w:val="22"/>
              </w:rPr>
              <w:t xml:space="preserve">Service/Peace </w:t>
            </w:r>
          </w:p>
          <w:p w:rsidR="00927F59" w:rsidRPr="004317FA" w:rsidRDefault="00927F59" w:rsidP="00927F59">
            <w:pPr>
              <w:rPr>
                <w:rFonts w:ascii="Arial" w:hAnsi="Arial" w:cs="Arial"/>
              </w:rPr>
            </w:pPr>
            <w:r w:rsidRPr="004317FA">
              <w:rPr>
                <w:rFonts w:ascii="Arial" w:hAnsi="Arial" w:cs="Arial"/>
              </w:rPr>
              <w:t xml:space="preserve">Corps and other Unique Authorities </w:t>
            </w:r>
          </w:p>
        </w:tc>
        <w:tc>
          <w:tcPr>
            <w:tcW w:w="7646" w:type="dxa"/>
          </w:tcPr>
          <w:p w:rsidR="004317FA" w:rsidRPr="004317FA" w:rsidRDefault="00927F59" w:rsidP="00927F59">
            <w:pPr>
              <w:pStyle w:val="Default"/>
              <w:rPr>
                <w:sz w:val="22"/>
                <w:szCs w:val="22"/>
              </w:rPr>
            </w:pPr>
            <w:r w:rsidRPr="004317FA">
              <w:rPr>
                <w:sz w:val="22"/>
                <w:szCs w:val="22"/>
              </w:rPr>
              <w:t>You may be eligible based on service in one of the categories listed below:</w:t>
            </w:r>
          </w:p>
          <w:p w:rsidR="00927F59" w:rsidRPr="004317FA" w:rsidRDefault="00927F59" w:rsidP="00927F59">
            <w:pPr>
              <w:pStyle w:val="Default"/>
              <w:rPr>
                <w:sz w:val="22"/>
                <w:szCs w:val="22"/>
              </w:rPr>
            </w:pPr>
            <w:r w:rsidRPr="004317FA">
              <w:rPr>
                <w:sz w:val="22"/>
                <w:szCs w:val="22"/>
              </w:rPr>
              <w:t xml:space="preserve"> </w:t>
            </w:r>
          </w:p>
          <w:p w:rsidR="004317FA" w:rsidRPr="004317FA" w:rsidRDefault="00927F59" w:rsidP="00927F59">
            <w:pPr>
              <w:pStyle w:val="Default"/>
              <w:rPr>
                <w:sz w:val="22"/>
                <w:szCs w:val="22"/>
              </w:rPr>
            </w:pPr>
            <w:r w:rsidRPr="004317FA">
              <w:rPr>
                <w:sz w:val="22"/>
                <w:szCs w:val="22"/>
              </w:rPr>
              <w:t>Postal Career Service/Postal Rate Commission – Eligible when serving under an appointment without time limitation, successfully completed a probationary period and has no break in service. Aut</w:t>
            </w:r>
            <w:r w:rsidR="004317FA" w:rsidRPr="004317FA">
              <w:rPr>
                <w:sz w:val="22"/>
                <w:szCs w:val="22"/>
              </w:rPr>
              <w:t>hority: 39 U.S.C. 1006/3604(e)</w:t>
            </w:r>
          </w:p>
          <w:p w:rsidR="004317FA" w:rsidRPr="004317FA" w:rsidRDefault="004317FA" w:rsidP="00927F59">
            <w:pPr>
              <w:pStyle w:val="Default"/>
              <w:rPr>
                <w:sz w:val="22"/>
                <w:szCs w:val="22"/>
              </w:rPr>
            </w:pPr>
          </w:p>
          <w:p w:rsidR="00927F59" w:rsidRPr="004317FA" w:rsidRDefault="00927F59" w:rsidP="00927F59">
            <w:pPr>
              <w:pStyle w:val="Default"/>
              <w:rPr>
                <w:sz w:val="22"/>
                <w:szCs w:val="22"/>
              </w:rPr>
            </w:pPr>
            <w:r w:rsidRPr="004317FA">
              <w:rPr>
                <w:sz w:val="22"/>
                <w:szCs w:val="22"/>
              </w:rPr>
              <w:t xml:space="preserve">VISTA/ACTION Volunteer – Eligible within 1 year of having completed 12 months of community volunteer service under the Peace Corps Act or as a VISTA volunteer under the Economic Opportunity Act of 1964 or the Domestic Volunteer Service Act of 1973. </w:t>
            </w:r>
          </w:p>
          <w:p w:rsidR="00927F59" w:rsidRPr="004317FA" w:rsidRDefault="00927F59" w:rsidP="00927F59">
            <w:pPr>
              <w:pStyle w:val="Default"/>
              <w:rPr>
                <w:sz w:val="22"/>
                <w:szCs w:val="22"/>
              </w:rPr>
            </w:pPr>
            <w:r w:rsidRPr="004317FA">
              <w:rPr>
                <w:sz w:val="22"/>
                <w:szCs w:val="22"/>
              </w:rPr>
              <w:t xml:space="preserve">Authority: 5 CFR 315.605. </w:t>
            </w:r>
          </w:p>
          <w:p w:rsidR="004317FA" w:rsidRPr="004317FA" w:rsidRDefault="004317FA" w:rsidP="00927F59">
            <w:pPr>
              <w:pStyle w:val="Default"/>
              <w:rPr>
                <w:sz w:val="22"/>
                <w:szCs w:val="22"/>
              </w:rPr>
            </w:pPr>
          </w:p>
          <w:p w:rsidR="00927F59" w:rsidRPr="004317FA" w:rsidRDefault="00927F59" w:rsidP="00927F59">
            <w:pPr>
              <w:pStyle w:val="Default"/>
              <w:rPr>
                <w:sz w:val="22"/>
                <w:szCs w:val="22"/>
              </w:rPr>
            </w:pPr>
            <w:r w:rsidRPr="004317FA">
              <w:rPr>
                <w:sz w:val="22"/>
                <w:szCs w:val="22"/>
              </w:rPr>
              <w:t xml:space="preserve">Peace Corps – Eligible within 3 years after serving at not less than 36 months without a break in service of 3 days or more of continuous service under the Peace Corps. </w:t>
            </w:r>
          </w:p>
          <w:p w:rsidR="00927F59" w:rsidRPr="004317FA" w:rsidRDefault="00927F59" w:rsidP="00927F59">
            <w:pPr>
              <w:pStyle w:val="Default"/>
              <w:rPr>
                <w:sz w:val="22"/>
                <w:szCs w:val="22"/>
              </w:rPr>
            </w:pPr>
            <w:r w:rsidRPr="004317FA">
              <w:rPr>
                <w:sz w:val="22"/>
                <w:szCs w:val="22"/>
              </w:rPr>
              <w:t xml:space="preserve">Authority: 5 CFR 315.607 </w:t>
            </w:r>
          </w:p>
          <w:p w:rsidR="004317FA" w:rsidRPr="004317FA" w:rsidRDefault="004317FA" w:rsidP="00927F59">
            <w:pPr>
              <w:pStyle w:val="Default"/>
              <w:rPr>
                <w:sz w:val="22"/>
                <w:szCs w:val="22"/>
              </w:rPr>
            </w:pPr>
          </w:p>
          <w:p w:rsidR="00927F59" w:rsidRPr="004317FA" w:rsidRDefault="00927F59" w:rsidP="00927F59">
            <w:pPr>
              <w:pStyle w:val="Default"/>
              <w:rPr>
                <w:sz w:val="22"/>
                <w:szCs w:val="22"/>
              </w:rPr>
            </w:pPr>
            <w:r w:rsidRPr="004317FA">
              <w:rPr>
                <w:sz w:val="22"/>
                <w:szCs w:val="22"/>
              </w:rPr>
              <w:t xml:space="preserve">Foreign Service Officer and Employee – Present or former career officer or employee of the Foreign Service appointed under authority of the Foreign Service Act of 1946, as amended. Authority: 5 CFR 315.606 </w:t>
            </w:r>
          </w:p>
          <w:p w:rsidR="004317FA" w:rsidRPr="004317FA" w:rsidRDefault="004317FA" w:rsidP="00927F59">
            <w:pPr>
              <w:pStyle w:val="Default"/>
              <w:rPr>
                <w:sz w:val="22"/>
                <w:szCs w:val="22"/>
              </w:rPr>
            </w:pPr>
          </w:p>
          <w:p w:rsidR="00927F59" w:rsidRPr="004317FA" w:rsidRDefault="00927F59" w:rsidP="00927F59">
            <w:pPr>
              <w:pStyle w:val="Default"/>
              <w:rPr>
                <w:sz w:val="22"/>
                <w:szCs w:val="22"/>
              </w:rPr>
            </w:pPr>
            <w:r w:rsidRPr="004317FA">
              <w:rPr>
                <w:sz w:val="22"/>
                <w:szCs w:val="22"/>
              </w:rPr>
              <w:t xml:space="preserve">Panama Canal Commission – Eligible after at least 1 year of continuous employment under non-temporary appointment in the Panama Canal Commission located in the United States. Authority: 5 CFR 315.609 </w:t>
            </w:r>
          </w:p>
          <w:p w:rsidR="004317FA" w:rsidRPr="004317FA" w:rsidRDefault="004317FA" w:rsidP="00927F59">
            <w:pPr>
              <w:pStyle w:val="Default"/>
              <w:rPr>
                <w:sz w:val="22"/>
                <w:szCs w:val="22"/>
              </w:rPr>
            </w:pPr>
          </w:p>
          <w:p w:rsidR="004317FA" w:rsidRDefault="00927F59" w:rsidP="00927F59">
            <w:pPr>
              <w:pStyle w:val="Default"/>
              <w:rPr>
                <w:sz w:val="22"/>
                <w:szCs w:val="22"/>
              </w:rPr>
            </w:pPr>
            <w:r w:rsidRPr="004317FA">
              <w:rPr>
                <w:sz w:val="22"/>
                <w:szCs w:val="22"/>
              </w:rPr>
              <w:t>General Accounting Office – Eligible upon completion of 1 year of continuous service on a non-temporary appointment that began on or after 1 Oct 8</w:t>
            </w:r>
            <w:r w:rsidR="004317FA">
              <w:rPr>
                <w:sz w:val="22"/>
                <w:szCs w:val="22"/>
              </w:rPr>
              <w:t>0. Authority: 31 U.S.C. 732(g)</w:t>
            </w:r>
          </w:p>
          <w:p w:rsidR="004317FA" w:rsidRPr="004317FA" w:rsidRDefault="004317FA" w:rsidP="00927F59">
            <w:pPr>
              <w:pStyle w:val="Default"/>
              <w:rPr>
                <w:sz w:val="22"/>
                <w:szCs w:val="22"/>
              </w:rPr>
            </w:pPr>
          </w:p>
          <w:p w:rsidR="00927F59" w:rsidRPr="004317FA" w:rsidRDefault="00927F59" w:rsidP="00927F59">
            <w:pPr>
              <w:pStyle w:val="Default"/>
              <w:rPr>
                <w:sz w:val="22"/>
                <w:szCs w:val="22"/>
              </w:rPr>
            </w:pPr>
            <w:r w:rsidRPr="004317FA">
              <w:rPr>
                <w:sz w:val="22"/>
                <w:szCs w:val="22"/>
              </w:rPr>
              <w:t xml:space="preserve">Administrative Office of the U.S. Courts – Current/former employees are </w:t>
            </w:r>
            <w:r w:rsidRPr="004317FA">
              <w:rPr>
                <w:sz w:val="22"/>
                <w:szCs w:val="22"/>
              </w:rPr>
              <w:lastRenderedPageBreak/>
              <w:t xml:space="preserve">eligible with completion of at least 1 year of continuous service under non- temporary appointment. Employees appointed to high level positions under 28 U.S.C. 603 or a position of confidential or policy-making nature is not eligible under this authority. </w:t>
            </w:r>
          </w:p>
          <w:p w:rsidR="00927F59" w:rsidRDefault="00927F59" w:rsidP="00927F59">
            <w:pPr>
              <w:rPr>
                <w:rFonts w:ascii="Arial" w:hAnsi="Arial" w:cs="Arial"/>
              </w:rPr>
            </w:pPr>
            <w:r w:rsidRPr="004317FA">
              <w:rPr>
                <w:rFonts w:ascii="Arial" w:hAnsi="Arial" w:cs="Arial"/>
              </w:rPr>
              <w:t>Authorities: 28 U.S.C. 602, and Public Law 101-474</w:t>
            </w:r>
          </w:p>
          <w:p w:rsidR="00367827" w:rsidRPr="004317FA" w:rsidRDefault="00367827" w:rsidP="00927F59">
            <w:pPr>
              <w:rPr>
                <w:rFonts w:ascii="Arial" w:hAnsi="Arial" w:cs="Arial"/>
              </w:rPr>
            </w:pPr>
          </w:p>
        </w:tc>
      </w:tr>
    </w:tbl>
    <w:p w:rsidR="00302935" w:rsidRDefault="00302935"/>
    <w:sectPr w:rsidR="00302935" w:rsidSect="000F2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59"/>
    <w:rsid w:val="00063B65"/>
    <w:rsid w:val="000753F5"/>
    <w:rsid w:val="000755F0"/>
    <w:rsid w:val="000F2FC6"/>
    <w:rsid w:val="00114121"/>
    <w:rsid w:val="00145B6B"/>
    <w:rsid w:val="00184BCA"/>
    <w:rsid w:val="002229DF"/>
    <w:rsid w:val="00260466"/>
    <w:rsid w:val="002F7777"/>
    <w:rsid w:val="00302935"/>
    <w:rsid w:val="003250EB"/>
    <w:rsid w:val="00367827"/>
    <w:rsid w:val="004213FF"/>
    <w:rsid w:val="004236B1"/>
    <w:rsid w:val="004317FA"/>
    <w:rsid w:val="0048564B"/>
    <w:rsid w:val="004E3A85"/>
    <w:rsid w:val="00567BAE"/>
    <w:rsid w:val="00576F2F"/>
    <w:rsid w:val="0061527A"/>
    <w:rsid w:val="0062652E"/>
    <w:rsid w:val="0063107C"/>
    <w:rsid w:val="00733023"/>
    <w:rsid w:val="007521CA"/>
    <w:rsid w:val="007566F6"/>
    <w:rsid w:val="007721E9"/>
    <w:rsid w:val="007A2850"/>
    <w:rsid w:val="0083452A"/>
    <w:rsid w:val="00851A31"/>
    <w:rsid w:val="008E1C5D"/>
    <w:rsid w:val="00903955"/>
    <w:rsid w:val="00927F59"/>
    <w:rsid w:val="00977A7E"/>
    <w:rsid w:val="00A0153A"/>
    <w:rsid w:val="00A148CF"/>
    <w:rsid w:val="00A603E5"/>
    <w:rsid w:val="00B57587"/>
    <w:rsid w:val="00C433CE"/>
    <w:rsid w:val="00CC5CD0"/>
    <w:rsid w:val="00CE3213"/>
    <w:rsid w:val="00CF2F35"/>
    <w:rsid w:val="00D92291"/>
    <w:rsid w:val="00DE6023"/>
    <w:rsid w:val="00DF32F6"/>
    <w:rsid w:val="00E86C93"/>
    <w:rsid w:val="00EA4699"/>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7F5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F7777"/>
    <w:rPr>
      <w:color w:val="0000FF" w:themeColor="hyperlink"/>
      <w:u w:val="single"/>
    </w:rPr>
  </w:style>
  <w:style w:type="character" w:styleId="FollowedHyperlink">
    <w:name w:val="FollowedHyperlink"/>
    <w:basedOn w:val="DefaultParagraphFont"/>
    <w:uiPriority w:val="99"/>
    <w:semiHidden/>
    <w:unhideWhenUsed/>
    <w:rsid w:val="002F7777"/>
    <w:rPr>
      <w:color w:val="800080" w:themeColor="followedHyperlink"/>
      <w:u w:val="single"/>
    </w:rPr>
  </w:style>
  <w:style w:type="paragraph" w:styleId="BalloonText">
    <w:name w:val="Balloon Text"/>
    <w:basedOn w:val="Normal"/>
    <w:link w:val="BalloonTextChar"/>
    <w:uiPriority w:val="99"/>
    <w:semiHidden/>
    <w:unhideWhenUsed/>
    <w:rsid w:val="0083452A"/>
    <w:rPr>
      <w:rFonts w:ascii="Tahoma" w:hAnsi="Tahoma" w:cs="Tahoma"/>
      <w:sz w:val="16"/>
      <w:szCs w:val="16"/>
    </w:rPr>
  </w:style>
  <w:style w:type="character" w:customStyle="1" w:styleId="BalloonTextChar">
    <w:name w:val="Balloon Text Char"/>
    <w:basedOn w:val="DefaultParagraphFont"/>
    <w:link w:val="BalloonText"/>
    <w:uiPriority w:val="99"/>
    <w:semiHidden/>
    <w:rsid w:val="00834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7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7F5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2F7777"/>
    <w:rPr>
      <w:color w:val="0000FF" w:themeColor="hyperlink"/>
      <w:u w:val="single"/>
    </w:rPr>
  </w:style>
  <w:style w:type="character" w:styleId="FollowedHyperlink">
    <w:name w:val="FollowedHyperlink"/>
    <w:basedOn w:val="DefaultParagraphFont"/>
    <w:uiPriority w:val="99"/>
    <w:semiHidden/>
    <w:unhideWhenUsed/>
    <w:rsid w:val="002F7777"/>
    <w:rPr>
      <w:color w:val="800080" w:themeColor="followedHyperlink"/>
      <w:u w:val="single"/>
    </w:rPr>
  </w:style>
  <w:style w:type="paragraph" w:styleId="BalloonText">
    <w:name w:val="Balloon Text"/>
    <w:basedOn w:val="Normal"/>
    <w:link w:val="BalloonTextChar"/>
    <w:uiPriority w:val="99"/>
    <w:semiHidden/>
    <w:unhideWhenUsed/>
    <w:rsid w:val="0083452A"/>
    <w:rPr>
      <w:rFonts w:ascii="Tahoma" w:hAnsi="Tahoma" w:cs="Tahoma"/>
      <w:sz w:val="16"/>
      <w:szCs w:val="16"/>
    </w:rPr>
  </w:style>
  <w:style w:type="character" w:customStyle="1" w:styleId="BalloonTextChar">
    <w:name w:val="Balloon Text Char"/>
    <w:basedOn w:val="DefaultParagraphFont"/>
    <w:link w:val="BalloonText"/>
    <w:uiPriority w:val="99"/>
    <w:semiHidden/>
    <w:rsid w:val="00834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m.gov/disability/PeopleWithDisabilities.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pm.gov/Forms/pdf_fill/SF15.pdf%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pm.gov/StaffingPortal/vetguide.asp" TargetMode="External"/><Relationship Id="rId11" Type="http://schemas.openxmlformats.org/officeDocument/2006/relationships/hyperlink" Target="http://www.opm.gov/hr_practitioners/lawsregulations/appointingauthorities/index.asp" TargetMode="External"/><Relationship Id="rId5" Type="http://schemas.openxmlformats.org/officeDocument/2006/relationships/webSettings" Target="webSettings.xml"/><Relationship Id="rId10" Type="http://schemas.openxmlformats.org/officeDocument/2006/relationships/hyperlink" Target="http://www.opm.gov/hr_practitioners/lawsregulations/appointingauthorities/MilitarySpouses.asp" TargetMode="External"/><Relationship Id="rId4" Type="http://schemas.openxmlformats.org/officeDocument/2006/relationships/settings" Target="settings.xml"/><Relationship Id="rId9" Type="http://schemas.openxmlformats.org/officeDocument/2006/relationships/hyperlink" Target="http://www.gpo.gov/fdsys/pkg/CFR-2012-title5-vol1/xml/CFR-2012-title5-vol1-sec315-608.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C2AB-50DA-449B-A7EF-A6B06916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Pierson</dc:creator>
  <cp:lastModifiedBy>test</cp:lastModifiedBy>
  <cp:revision>5</cp:revision>
  <dcterms:created xsi:type="dcterms:W3CDTF">2012-07-16T15:06:00Z</dcterms:created>
  <dcterms:modified xsi:type="dcterms:W3CDTF">2012-07-16T15:11:00Z</dcterms:modified>
</cp:coreProperties>
</file>